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Door Inspection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Remove grime and debris from door tracks.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interior and exterior finishes—peeling or water stains may indicate a leak, which means that they may need to be resealed or replaced.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the gate closure safety shut-off is working properly in case of emergency.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all locks and knobs to ensure they work properly.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 a non-oily lubricant to any doors that are sliding or sticking.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Repair or replace any doors containing damaged embedded windows.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